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A" w:rsidRPr="006208D9" w:rsidRDefault="003A3D1A" w:rsidP="003A3D1A">
      <w:pP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</w:pPr>
      <w:r w:rsidRPr="00243E10">
        <w:rPr>
          <w:rFonts w:ascii="Times New Roman" w:eastAsia="DengXian" w:hAnsi="Times New Roman" w:cs="Times New Roman"/>
          <w:b/>
          <w:sz w:val="24"/>
          <w:lang w:eastAsia="zh-CN"/>
        </w:rPr>
        <w:t>Supplemental T</w:t>
      </w:r>
      <w:r w:rsidRPr="00243E10">
        <w:rPr>
          <w:rFonts w:ascii="Times New Roman" w:eastAsia="DengXian" w:hAnsi="Times New Roman" w:cs="Times New Roman" w:hint="eastAsia"/>
          <w:b/>
          <w:sz w:val="24"/>
          <w:lang w:eastAsia="zh-CN"/>
        </w:rPr>
        <w:t>able</w:t>
      </w:r>
      <w:r w:rsidRPr="00243E10">
        <w:rPr>
          <w:rFonts w:ascii="Times New Roman" w:eastAsia="DengXian" w:hAnsi="Times New Roman" w:cs="Times New Roman"/>
          <w:b/>
          <w:sz w:val="24"/>
          <w:lang w:eastAsia="zh-CN"/>
        </w:rPr>
        <w:t xml:space="preserve"> </w:t>
      </w:r>
      <w:r>
        <w:rPr>
          <w:rFonts w:ascii="Times New Roman" w:eastAsia="DengXian" w:hAnsi="Times New Roman" w:cs="Times New Roman"/>
          <w:b/>
          <w:sz w:val="24"/>
          <w:lang w:eastAsia="zh-CN"/>
        </w:rPr>
        <w:t>2</w:t>
      </w:r>
      <w:r w:rsidRPr="006208D9">
        <w:rPr>
          <w:rFonts w:ascii="Times New Roman" w:eastAsia="DengXian" w:hAnsi="Times New Roman" w:cs="Times New Roman"/>
          <w:sz w:val="24"/>
          <w:lang w:eastAsia="zh-CN"/>
        </w:rPr>
        <w:t xml:space="preserve"> </w:t>
      </w:r>
      <w:bookmarkStart w:id="0" w:name="_Hlk63440761"/>
      <w:r w:rsidRPr="006208D9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Gene ontology analysis 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results on</w:t>
      </w:r>
      <w:r w:rsidRPr="006208D9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predictor genes for the </w:t>
      </w:r>
      <w:r w:rsidRPr="006208D9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12 drugs in GDSC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.</w:t>
      </w:r>
      <w:r w:rsidRPr="000C2756">
        <w:t xml:space="preserve"> </w:t>
      </w:r>
      <w:r>
        <w:t xml:space="preserve">We 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u</w:t>
      </w:r>
      <w:r w:rsidRPr="000C2756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d</w:t>
      </w:r>
      <w:r w:rsidRPr="000C2756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Metascape to perform 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gene </w:t>
      </w:r>
      <w:r w:rsidRPr="000C2756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enrichment analysis to determine the gene functions, related pathways and their enrichment levels of common predictor genes 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we </w:t>
      </w:r>
      <w:r w:rsidRPr="000C2756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found for 12 drugs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.</w:t>
      </w:r>
      <w:r w:rsidRPr="000C2756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(The number of common predictor genes for each drug is shown in Table 2).</w:t>
      </w:r>
      <w:bookmarkEnd w:id="0"/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3A3D1A" w:rsidRPr="00E1386A" w:rsidRDefault="003A3D1A" w:rsidP="003A3D1A">
      <w:pPr>
        <w:rPr>
          <w:rFonts w:ascii="Times New Roman" w:eastAsia="휴먼명조" w:hAnsi="Times New Roman" w:cs="Times New Roman"/>
          <w:b/>
          <w:color w:val="000000" w:themeColor="text1"/>
          <w:kern w:val="0"/>
        </w:rPr>
      </w:pPr>
      <w:r w:rsidRPr="00E1386A">
        <w:rPr>
          <w:rFonts w:ascii="Times New Roman" w:eastAsia="휴먼명조" w:hAnsi="Times New Roman" w:cs="Times New Roman"/>
          <w:b/>
          <w:color w:val="000000" w:themeColor="text1"/>
          <w:kern w:val="0"/>
        </w:rPr>
        <w:t>17-AAG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555"/>
        <w:gridCol w:w="3969"/>
        <w:gridCol w:w="708"/>
        <w:gridCol w:w="709"/>
        <w:gridCol w:w="992"/>
        <w:gridCol w:w="1134"/>
      </w:tblGrid>
      <w:tr w:rsidR="003A3D1A" w:rsidRPr="00181878" w:rsidTr="00755DD8">
        <w:tc>
          <w:tcPr>
            <w:tcW w:w="1555" w:type="dxa"/>
          </w:tcPr>
          <w:p w:rsidR="003A3D1A" w:rsidRPr="0031019A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31019A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3969" w:type="dxa"/>
          </w:tcPr>
          <w:p w:rsidR="003A3D1A" w:rsidRPr="0031019A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31019A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08" w:type="dxa"/>
          </w:tcPr>
          <w:p w:rsidR="003A3D1A" w:rsidRPr="0031019A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31019A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709" w:type="dxa"/>
          </w:tcPr>
          <w:p w:rsidR="003A3D1A" w:rsidRPr="0031019A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31019A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92" w:type="dxa"/>
          </w:tcPr>
          <w:p w:rsidR="003A3D1A" w:rsidRPr="0031019A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31019A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1134" w:type="dxa"/>
          </w:tcPr>
          <w:p w:rsidR="003A3D1A" w:rsidRPr="0031019A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31019A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bookmarkStart w:id="1" w:name="_Hlk58935230"/>
            <w:bookmarkStart w:id="2" w:name="_Hlk58935158"/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GO:0043062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extracellular structure organization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9.62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-11.81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-7.46</w:t>
            </w:r>
          </w:p>
        </w:tc>
      </w:tr>
      <w:bookmarkEnd w:id="1"/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GO:0040017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locomotion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9.23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-8.32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-4.67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GO:0070848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growth factor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10.00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-8.01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-4.51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GO:0030155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adhesion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9.62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-7.51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-4.17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GO:0043408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MAPK cascade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9.62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-7.29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-3.98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GO:0006935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chemotaxis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8.85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-7.22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-3.97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R-HSA-3000171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Non-integrin membrane-ECM interactions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3.08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-7.14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-3.97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GO:0008285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proliferation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25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9.62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-6.97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-3.85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GO:0048608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reproductive structure development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6.92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-6.67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-3.60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GO:0097435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supramolecular fiber organization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23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8.85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-6.51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-3.51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GO:0031960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corticosteroid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4.23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-6.38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-3.41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R-HSA-198933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Immunoregulatory interactions between a Lymphoid and a non-Lymphoid cell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3.85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-6.33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-3.40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GO:0042060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wound healing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7.69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-6.08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-3.18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GO:0002263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 activation involved in immune response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22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8.46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-5.90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-3.07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R-HSA-109582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Hemostasis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7.69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-5.77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-2.99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GO:0010035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inorganic substance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7.31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-5.75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-2.98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GO:0001503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ossification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6.15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-5.73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-2.98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GO:0051347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transferase activity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8.08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-5.59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-2.90</w:t>
            </w:r>
          </w:p>
        </w:tc>
      </w:tr>
      <w:tr w:rsidR="003A3D1A" w:rsidRPr="00181878" w:rsidTr="00755DD8"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R-HSA-381426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Insulin-like Growth Factor (IGF) transport and uptake by Insulin-like Growth Factor Binding Proteins (IGFBPs)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3.46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-5.57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-2.89</w:t>
            </w:r>
          </w:p>
        </w:tc>
      </w:tr>
      <w:tr w:rsidR="003A3D1A" w:rsidRPr="00181878" w:rsidTr="00755DD8">
        <w:trPr>
          <w:trHeight w:val="265"/>
        </w:trPr>
        <w:tc>
          <w:tcPr>
            <w:tcW w:w="1555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GO:0050769</w:t>
            </w:r>
          </w:p>
        </w:tc>
        <w:tc>
          <w:tcPr>
            <w:tcW w:w="396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neurogenesis</w:t>
            </w:r>
          </w:p>
        </w:tc>
        <w:tc>
          <w:tcPr>
            <w:tcW w:w="708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709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6.54</w:t>
            </w:r>
          </w:p>
        </w:tc>
        <w:tc>
          <w:tcPr>
            <w:tcW w:w="992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-5.47</w:t>
            </w:r>
          </w:p>
        </w:tc>
        <w:tc>
          <w:tcPr>
            <w:tcW w:w="1134" w:type="dxa"/>
            <w:hideMark/>
          </w:tcPr>
          <w:p w:rsidR="003A3D1A" w:rsidRPr="0031019A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31019A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-2.85</w:t>
            </w:r>
          </w:p>
        </w:tc>
      </w:tr>
      <w:bookmarkEnd w:id="2"/>
    </w:tbl>
    <w:p w:rsidR="003A3D1A" w:rsidRPr="00181878" w:rsidRDefault="003A3D1A" w:rsidP="003A3D1A">
      <w:pPr>
        <w:spacing w:after="0" w:line="0" w:lineRule="atLeast"/>
        <w:rPr>
          <w:rFonts w:ascii="Times New Roman" w:eastAsia="DengXian" w:hAnsi="Times New Roman" w:cs="Times New Roman"/>
          <w:sz w:val="18"/>
          <w:szCs w:val="18"/>
          <w:lang w:eastAsia="zh-CN"/>
        </w:rPr>
      </w:pPr>
    </w:p>
    <w:p w:rsidR="003A3D1A" w:rsidRPr="00E1386A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E1386A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AZD-0530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43"/>
        <w:gridCol w:w="705"/>
        <w:gridCol w:w="706"/>
        <w:gridCol w:w="983"/>
        <w:gridCol w:w="1051"/>
      </w:tblGrid>
      <w:tr w:rsidR="003A3D1A" w:rsidRPr="00181878" w:rsidTr="00755DD8">
        <w:tc>
          <w:tcPr>
            <w:tcW w:w="132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416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05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70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75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105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GO:0001667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ameboidal-type cell migration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12.50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-5.92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-1.86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M5884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CORE MATRISOME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10.00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-5.91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-1.86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GO:0070848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growth factor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13.75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-5.04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-1.48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skeletal system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11.25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-4.77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-1.38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GO:0006027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glycosaminoglycan catabolic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5.00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-4.55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-1.32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GO:0019216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lipid metabolic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10.00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-4.49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-1.32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GO:0002366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activation involved in immune response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12.50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-4.42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-1.32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PID INTEGRIN1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5.00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-4.41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-1.32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GO:0001101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acid chemical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-4.21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-1.24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GO:0070613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protein processing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6.25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-3.75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-0.97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ossification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-3.74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-0.97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GO:0001933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protein phosphorylation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-3.55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-0.85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GO:0019932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second-messenger-mediated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-3.48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-0.84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ko04672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Intestinal immune network for IgA production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-3.42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-0.83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GO:0048545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steroid hormone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7.50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-3.31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-0.75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GO:0016331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morphogenesis of embryonic epithelium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5.00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-3.03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-0.58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GO:0007162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6.25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-2.76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-0.41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ko05410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Hypertrophic cardiomyopathy (HCM)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-2.76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-0.41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GO:1901654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ketone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5.00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-2.58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-0.30</w:t>
            </w:r>
          </w:p>
        </w:tc>
      </w:tr>
      <w:tr w:rsidR="003A3D1A" w:rsidRPr="00181878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GO:0032006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TOR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706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3.75</w:t>
            </w:r>
          </w:p>
        </w:tc>
        <w:tc>
          <w:tcPr>
            <w:tcW w:w="975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-2.50</w:t>
            </w:r>
          </w:p>
        </w:tc>
        <w:tc>
          <w:tcPr>
            <w:tcW w:w="1051" w:type="dxa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-0.27</w:t>
            </w:r>
          </w:p>
        </w:tc>
      </w:tr>
    </w:tbl>
    <w:p w:rsidR="003A3D1A" w:rsidRDefault="003A3D1A" w:rsidP="003A3D1A">
      <w:pPr>
        <w:spacing w:after="0" w:line="0" w:lineRule="atLeast"/>
        <w:rPr>
          <w:rFonts w:ascii="Times New Roman" w:eastAsia="DengXian" w:hAnsi="Times New Roman" w:cs="Times New Roman"/>
          <w:sz w:val="18"/>
          <w:szCs w:val="18"/>
          <w:lang w:eastAsia="zh-CN"/>
        </w:rPr>
      </w:pPr>
    </w:p>
    <w:p w:rsidR="003A3D1A" w:rsidRPr="00181878" w:rsidRDefault="003A3D1A" w:rsidP="003A3D1A">
      <w:pPr>
        <w:spacing w:after="0" w:line="0" w:lineRule="atLeast"/>
        <w:rPr>
          <w:rFonts w:ascii="Times New Roman" w:eastAsia="DengXian" w:hAnsi="Times New Roman" w:cs="Times New Roman"/>
          <w:sz w:val="18"/>
          <w:szCs w:val="18"/>
          <w:lang w:eastAsia="zh-CN"/>
        </w:rPr>
      </w:pPr>
    </w:p>
    <w:p w:rsidR="003A3D1A" w:rsidRPr="00E1386A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E1386A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AZD6244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3"/>
        <w:gridCol w:w="4549"/>
        <w:gridCol w:w="705"/>
        <w:gridCol w:w="710"/>
        <w:gridCol w:w="983"/>
        <w:gridCol w:w="972"/>
      </w:tblGrid>
      <w:tr w:rsidR="003A3D1A" w:rsidRPr="00761013" w:rsidTr="00755DD8">
        <w:tc>
          <w:tcPr>
            <w:tcW w:w="132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94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669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71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1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0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GO:0009611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wounding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-10.99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10.00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-9.87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-5.83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GO:1902532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intracellular signal transduction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-9.04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GO:0043408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MAPK cascade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GO:0008285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proliferation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GO:0001568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blood vessel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-8.49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-4.99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GO:0048732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gland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GO:0031099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regeneration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-7.90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GO:0048589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developmental growth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-7.73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M3008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ECM GLYCOPROTEINS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4.38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GO:0043062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extracellular structure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-7.05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GO:0052547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peptidase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GO:0090066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anatomical structure size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GO:0097237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cellular response to toxic substance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-3.67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GO:0001704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formation of primary germ layer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-3.63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GO:0001503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ossification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5.94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M145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PID P53 DOWNSTREAM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GO:0000904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 morphogenesis involved in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-3.29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GO:0009617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bacterium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-3.29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GO:0007420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brain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-3.26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DengXian" w:hAnsi="Times New Roman" w:cs="Times New Roman"/>
          <w:sz w:val="18"/>
          <w:szCs w:val="18"/>
          <w:lang w:eastAsia="zh-CN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Erlotinib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5"/>
        <w:gridCol w:w="4321"/>
        <w:gridCol w:w="738"/>
        <w:gridCol w:w="738"/>
        <w:gridCol w:w="990"/>
        <w:gridCol w:w="980"/>
      </w:tblGrid>
      <w:tr w:rsidR="003A3D1A" w:rsidRPr="00761013" w:rsidTr="00755DD8">
        <w:tc>
          <w:tcPr>
            <w:tcW w:w="133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67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39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ab/>
            </w:r>
          </w:p>
        </w:tc>
        <w:tc>
          <w:tcPr>
            <w:tcW w:w="74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9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8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M5885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MATRISOME ASSOCIATED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25.58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-7.90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GO:0043062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extracellular structure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20.93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-7.57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GO:0061448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connective tissue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16.28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-6.83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-3.18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GO:0043588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skin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18.60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GO:0072124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glomerular mesangial cell proliferation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-2.80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GO:0019730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antimicrobial humoral response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11.63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GO:0001568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blood vessel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18.60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16.28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GO:0042475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odontogenesis of dentin-containing tooth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-0.81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GO:0032970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actin filament-based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11.63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-0.80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GO:0002576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platelet degranulation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GO:0050663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cytokine secretion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GO:0046718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viral entry into host cell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-0.55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R-HSA-913531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Interferon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-0.26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M3468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ECM REGULATORS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-0.14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Lapatinib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4305"/>
        <w:gridCol w:w="729"/>
        <w:gridCol w:w="730"/>
        <w:gridCol w:w="983"/>
        <w:gridCol w:w="973"/>
      </w:tblGrid>
      <w:tr w:rsidR="003A3D1A" w:rsidRPr="00761013" w:rsidTr="00755DD8">
        <w:tc>
          <w:tcPr>
            <w:tcW w:w="131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bookmarkStart w:id="3" w:name="_Hlk58933918"/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752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29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ab/>
            </w:r>
          </w:p>
        </w:tc>
        <w:tc>
          <w:tcPr>
            <w:tcW w:w="73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8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7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bookmarkEnd w:id="3"/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GO:0040017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locomotion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-12.54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-8.19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GO:0043588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skin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10.04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-11.96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-8.19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M5885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MATRISOME ASSOCIATED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-11.31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-7.67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GO:0009611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wounding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-11.18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-7.61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GO:0097191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extrinsic apoptotic signaling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-10.06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-6.76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GO:0052547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peptidase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-6.21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GO:0002274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myeloid leukocyte activation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GO:0030155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-8.63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-5.54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GO:0045862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proteolysis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7.42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-7.75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GO:0032103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response to external stimulus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-7.63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-4.72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GO:0009991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extracellular stimulus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-7.52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GO:0001525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angiogenesis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-7.43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GO:0008285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proliferation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-7.42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GO:0031344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projection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10.04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-7.38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GO:0033627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 adhesion mediated by integrin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3.49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GO:0032496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lipopolysaccharide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-6.91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extracellular matrix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GO:0010035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inorganic substance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8.30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-6.59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PID INTEGRIN1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3.06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-5.94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-3.40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GO:0001666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hypoxia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-3.24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Nilotinib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4360"/>
        <w:gridCol w:w="725"/>
        <w:gridCol w:w="726"/>
        <w:gridCol w:w="983"/>
        <w:gridCol w:w="972"/>
      </w:tblGrid>
      <w:tr w:rsidR="003A3D1A" w:rsidRPr="00761013" w:rsidTr="00755DD8">
        <w:tc>
          <w:tcPr>
            <w:tcW w:w="132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759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2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ab/>
            </w:r>
          </w:p>
        </w:tc>
        <w:tc>
          <w:tcPr>
            <w:tcW w:w="72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8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7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GO:0030036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actin cytoskeleton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-3.25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GO:0002683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immune system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-6.80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R-HSA-109582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Hemostasis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9.34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-2.50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GO:0003014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renal system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4.40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GO:0002274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myeloid leukocyte activation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9.34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GO:0001823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mesonephros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GO:0010631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epithelial cell migration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6.59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GO:0051592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calcium 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4.40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GO:0050878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body fluid levels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GO:0050900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migration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GO:0055074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calcium ion homeostasis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GO:0040017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locomotion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GO:0006907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pinocytosis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-4.78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GO:0031579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membrane raft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GO:0010942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cell death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GO:0040015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multicellular organism growth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GO:0043122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I-kappaB kinase/NF-kappaB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4.95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GO:0051345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hydrolase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GO:0032496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lipopolysaccharide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5.49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GO:0097202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activation of cysteine-type endopeptidase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-1.45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Nutlin-3a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3"/>
        <w:gridCol w:w="4554"/>
        <w:gridCol w:w="705"/>
        <w:gridCol w:w="715"/>
        <w:gridCol w:w="983"/>
        <w:gridCol w:w="972"/>
      </w:tblGrid>
      <w:tr w:rsidR="003A3D1A" w:rsidRPr="00761013" w:rsidTr="00755DD8">
        <w:tc>
          <w:tcPr>
            <w:tcW w:w="132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96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657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ab/>
            </w:r>
          </w:p>
        </w:tc>
        <w:tc>
          <w:tcPr>
            <w:tcW w:w="722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0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89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M145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PID P53 DOWNSTREAM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-9.57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GO:0070268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cornification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GO:0097435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supramolecular fiber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GO:0072332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intrinsic apoptotic signaling pathway by p53 class mediator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4.06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-3.61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ossification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-6.57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hsa01524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Platinum drug resistance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GO:0061458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reproductive system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-5.41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GO:0052548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endopeptidase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6.60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GO:0071407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cellular response to organic cyclic compound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GO:0031667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nutrient levels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-4.73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GO:0048729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tissue morphogenesis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GO:1903829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cellular protein localization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GO:0031589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cell-substrate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GO:0007219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Notch signaling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4.06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GO:0031650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heat generation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1.52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GO:0001771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immunological synapse formation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1.52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GO:0008285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proliferation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GO:0043269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ion transport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GO:0010721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GO:0048066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developmental pigmentation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-1.24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PD-0325901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4453"/>
        <w:gridCol w:w="714"/>
        <w:gridCol w:w="704"/>
        <w:gridCol w:w="983"/>
        <w:gridCol w:w="972"/>
      </w:tblGrid>
      <w:tr w:rsidR="003A3D1A" w:rsidRPr="00761013" w:rsidTr="00755DD8">
        <w:tc>
          <w:tcPr>
            <w:tcW w:w="131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87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1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ab/>
            </w:r>
          </w:p>
        </w:tc>
        <w:tc>
          <w:tcPr>
            <w:tcW w:w="72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7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6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M5884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CORE MATRISOME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7.30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-5.67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GO:0071396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cellular response to lipid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10.30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-9.72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-5.67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GO:0009617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bacterium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10.30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GO:0048608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reproductive structure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7.30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GO:0030198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extracellular matrix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6.87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-6.59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GO:0048545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steroid hormone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GO:0032355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estradiol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-6.50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GO:0010035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inorganic substance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GO:0031667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nutrient levels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7.73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-6.43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-3.31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GO:0002366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activation involved in immune response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R-HSA-109582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Hemostasis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-2.92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GO:0098754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detoxification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3.86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-2.79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GO:0045596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-2.71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GO:0044706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multi-multicellular organism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4.72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-2.56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GO:0043903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symbiosis, encompassing mutualism through parasitism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4.72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-5.35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M5885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MATRISOME ASSOCIATED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GO:0007613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memory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3.43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GO:0009611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wounding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GO:0071402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cellular response to lipoprotein particle stimulus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-4.93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GO:0002521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6.87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-2.18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PD-0332991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4438"/>
        <w:gridCol w:w="728"/>
        <w:gridCol w:w="630"/>
        <w:gridCol w:w="983"/>
        <w:gridCol w:w="973"/>
      </w:tblGrid>
      <w:tr w:rsidR="003A3D1A" w:rsidRPr="00761013" w:rsidTr="00755DD8">
        <w:tc>
          <w:tcPr>
            <w:tcW w:w="133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837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2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63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8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7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ko04666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Fc gamma R-mediated phagocytosis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-6.60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hsa05200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Pathways in cancer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GO:0071900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protein serine/threonine kinase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R-HSA-202733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 surface interactions at the vascular wall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GO:0051272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cellular component movement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hsa04925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aldosterone synthesis and secretion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3.59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GO:0045664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neuron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-1.42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GO:0008015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blood circulation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-1.36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GO:0050728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inflammatory response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R-HSA-421270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Cell-cell junction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ko05214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Glioma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GO:0001819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cytokine production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GO:0097190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apoptotic signaling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GO:0052547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peptidase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GO:0055074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calcium ion homeostasis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GO:0035051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cardiocyte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3.59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GO:0030036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actin cytoskeleton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-1.11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GO:0051101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DNA binding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-3.62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-1.01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GO:0014066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phosphatidylinositol 3-kinase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-0.98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GO:0060973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 migration involved in heart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1.54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-0.96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PHA-665752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1"/>
        <w:gridCol w:w="4418"/>
        <w:gridCol w:w="705"/>
        <w:gridCol w:w="693"/>
        <w:gridCol w:w="983"/>
        <w:gridCol w:w="972"/>
      </w:tblGrid>
      <w:tr w:rsidR="003A3D1A" w:rsidRPr="00761013" w:rsidTr="00755DD8">
        <w:tc>
          <w:tcPr>
            <w:tcW w:w="1335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951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0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707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6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50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GO:0006469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protein kinase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-5.46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-1.25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ko04080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Neuroactive ligand-receptor interaction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-0.74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GO:0042542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hydrogen peroxide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-3.97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-0.74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R-HSA-2142753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Arachidonic acid metabolism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6.38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-3.87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-0.67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GO:0009792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embryo development ending in birth or egg hatching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-0.06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GO:0019932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second-messenger-mediated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-0.00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GO:1905114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 surface receptor signaling pathway involved in cell-cell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10.64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0.00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M3008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NABA ECM GLYCOPROTEINS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6.38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0.00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R-HSA-418594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 alpha (i) signalling events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0.00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GO:0051607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defense response to virus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6.38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0.00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GO:0046434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organophosphate catabolic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6.38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0.00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PLX4720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3961"/>
        <w:gridCol w:w="846"/>
        <w:gridCol w:w="847"/>
        <w:gridCol w:w="1027"/>
        <w:gridCol w:w="1019"/>
      </w:tblGrid>
      <w:tr w:rsidR="003A3D1A" w:rsidRPr="00761013" w:rsidTr="00755DD8">
        <w:tc>
          <w:tcPr>
            <w:tcW w:w="134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43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867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874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103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102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134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43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67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74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33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6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12.28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-8.26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GO:0030036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actin cytoskeleton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11.70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-7.83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GO:0048608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reproductive structure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-4.09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GO:0045055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regulated exocytosis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11.70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-6.99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-3.54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GO:0045596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10.53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-5.88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-2.58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GO:2000146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 motility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7.02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GO:0071396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cellular response to lipid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-5.43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GO:0061061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muscle structure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-2.16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R-HSA-109582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Hemostasis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-2.14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GO:0001503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ossification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7.02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-2.13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GO:0050865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activation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-4.90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-2.10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GO:0097191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extrinsic apoptotic signaling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-2.10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GO:0045936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phosphate metabolic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GO:1901137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carbohydrate derivative biosynthetic process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-1.94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GO:0034447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very-low-density lipoprotein particle clearance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1.75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GO:0007219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Notch signaling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4.68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GO:0010951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endopeptidase activity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GO:0034113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heterotypic cell-cell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R-HSA-8957275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Post-translational protein phosphorylation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-1.72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GO:0010812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negative regulation of cell-substrate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2.92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-1.69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eastAsia="휴먼명조" w:hAnsi="Times New Roman" w:cs="Times New Roman"/>
          <w:color w:val="000000" w:themeColor="text1"/>
          <w:kern w:val="0"/>
          <w:sz w:val="18"/>
          <w:szCs w:val="18"/>
        </w:rPr>
      </w:pPr>
    </w:p>
    <w:p w:rsidR="003A3D1A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</w:p>
    <w:p w:rsidR="003A3D1A" w:rsidRPr="00761013" w:rsidRDefault="003A3D1A" w:rsidP="003A3D1A">
      <w:pPr>
        <w:spacing w:after="120" w:line="0" w:lineRule="atLeast"/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</w:pPr>
      <w:r w:rsidRPr="00761013">
        <w:rPr>
          <w:rFonts w:ascii="Times New Roman" w:eastAsia="휴먼명조" w:hAnsi="Times New Roman" w:cs="Times New Roman"/>
          <w:b/>
          <w:color w:val="000000" w:themeColor="text1"/>
          <w:kern w:val="0"/>
          <w:szCs w:val="18"/>
        </w:rPr>
        <w:t>Sorafenib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4404"/>
        <w:gridCol w:w="728"/>
        <w:gridCol w:w="729"/>
        <w:gridCol w:w="983"/>
        <w:gridCol w:w="972"/>
      </w:tblGrid>
      <w:tr w:rsidR="003A3D1A" w:rsidRPr="00761013" w:rsidTr="00755DD8">
        <w:tc>
          <w:tcPr>
            <w:tcW w:w="1317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GO</w:t>
            </w:r>
          </w:p>
        </w:tc>
        <w:tc>
          <w:tcPr>
            <w:tcW w:w="2762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Description</w:t>
            </w:r>
          </w:p>
        </w:tc>
        <w:tc>
          <w:tcPr>
            <w:tcW w:w="728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Count</w:t>
            </w:r>
          </w:p>
        </w:tc>
        <w:tc>
          <w:tcPr>
            <w:tcW w:w="729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%</w:t>
            </w:r>
          </w:p>
        </w:tc>
        <w:tc>
          <w:tcPr>
            <w:tcW w:w="982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Log10(P)</w:t>
            </w:r>
          </w:p>
        </w:tc>
        <w:tc>
          <w:tcPr>
            <w:tcW w:w="972" w:type="dxa"/>
          </w:tcPr>
          <w:p w:rsidR="003A3D1A" w:rsidRPr="00761013" w:rsidRDefault="003A3D1A" w:rsidP="00755DD8">
            <w:pPr>
              <w:spacing w:line="0" w:lineRule="atLeast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76101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Log10(q)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GO:0002366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activation involved in immune response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14.05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-15.08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-10.96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GO:0030155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11.16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-9.48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-6.28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GO:0002521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differentiation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8.68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-7.94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-4.80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GO:0050900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leukocyte migration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-6.82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-3.73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GO:0009617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bacterium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9.09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-6.11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-3.09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GO:0033632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cell-cell adhesion mediated by integrin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1.65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-5.77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-2.80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GO:0042116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macrophage activation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-5.55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-2.60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GO:0070997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neuron death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-5.46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-2.53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GO:0007229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integrin-mediated signaling pathway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3.31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-5.27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-2.42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GO:0090087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regulation of peptide transport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7.85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GO:0007249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I-kappaB kinase/NF-kappaB signaling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-2.32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GO:0110110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animal organ morphogenesis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-5.04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-2.29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GO:0034109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homotypic cell-cell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-4.97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-2.25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GO:0048663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neuron fate commitment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2.48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-4.60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-2.01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GO:0050808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synapse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5.79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-1.98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GO:0061061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muscle structure development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-4.51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-1.95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GO:0045089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innate immune response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5.37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GO:0032496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response to lipopolysaccharide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4.96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-4.42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-1.92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GO:0030036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actin cytoskeleton organization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7.44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-4.31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-1.83</w:t>
            </w:r>
          </w:p>
        </w:tc>
      </w:tr>
      <w:tr w:rsidR="003A3D1A" w:rsidRPr="00761013" w:rsidTr="00755DD8"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lastRenderedPageBreak/>
              <w:t>GO:0034112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positive regulation of homotypic cell-cell adhesion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1.24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-4.29</w:t>
            </w:r>
          </w:p>
        </w:tc>
        <w:tc>
          <w:tcPr>
            <w:tcW w:w="0" w:type="auto"/>
            <w:hideMark/>
          </w:tcPr>
          <w:p w:rsidR="003A3D1A" w:rsidRPr="00761013" w:rsidRDefault="003A3D1A" w:rsidP="00755DD8">
            <w:pPr>
              <w:spacing w:line="0" w:lineRule="atLeast"/>
              <w:jc w:val="left"/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</w:pPr>
            <w:r w:rsidRPr="00761013">
              <w:rPr>
                <w:rFonts w:ascii="Times New Roman" w:eastAsia="굴림" w:hAnsi="Times New Roman" w:cs="Times New Roman"/>
                <w:color w:val="333333"/>
                <w:kern w:val="0"/>
                <w:szCs w:val="20"/>
              </w:rPr>
              <w:t>-1.82</w:t>
            </w:r>
          </w:p>
        </w:tc>
      </w:tr>
    </w:tbl>
    <w:p w:rsidR="003A3D1A" w:rsidRPr="00761013" w:rsidRDefault="003A3D1A" w:rsidP="003A3D1A">
      <w:pPr>
        <w:spacing w:after="0" w:line="0" w:lineRule="atLeast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</w:p>
    <w:p w:rsidR="00764575" w:rsidRDefault="00764575">
      <w:bookmarkStart w:id="4" w:name="_GoBack"/>
      <w:bookmarkEnd w:id="4"/>
    </w:p>
    <w:sectPr w:rsidR="00764575" w:rsidSect="00BB55B4">
      <w:footerReference w:type="default" r:id="rId6"/>
      <w:pgSz w:w="11906" w:h="16838" w:code="9"/>
      <w:pgMar w:top="1418" w:right="1440" w:bottom="1440" w:left="1440" w:header="851" w:footer="39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3039"/>
      <w:docPartObj>
        <w:docPartGallery w:val="Page Numbers (Bottom of Page)"/>
        <w:docPartUnique/>
      </w:docPartObj>
    </w:sdtPr>
    <w:sdtEndPr/>
    <w:sdtContent>
      <w:p w:rsidR="00592071" w:rsidRDefault="003A3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3D1A">
          <w:rPr>
            <w:noProof/>
            <w:lang w:val="ko-KR"/>
          </w:rPr>
          <w:t>8</w:t>
        </w:r>
        <w:r>
          <w:fldChar w:fldCharType="end"/>
        </w:r>
      </w:p>
    </w:sdtContent>
  </w:sdt>
  <w:p w:rsidR="00592071" w:rsidRDefault="003A3D1A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0EA"/>
    <w:multiLevelType w:val="multilevel"/>
    <w:tmpl w:val="8EBC2CF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/>
        <w:color w:val="2F312F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/>
        <w:color w:val="2F312F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/>
        <w:color w:val="2F312F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/>
        <w:color w:val="2F312F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b/>
        <w:color w:val="2F312F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/>
        <w:color w:val="2F312F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b/>
        <w:color w:val="2F312F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  <w:b/>
        <w:color w:val="2F312F"/>
      </w:rPr>
    </w:lvl>
  </w:abstractNum>
  <w:abstractNum w:abstractNumId="1">
    <w:nsid w:val="31567083"/>
    <w:multiLevelType w:val="multilevel"/>
    <w:tmpl w:val="8EBC2CF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/>
        <w:color w:val="2F312F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/>
        <w:color w:val="2F312F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/>
        <w:color w:val="2F312F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/>
        <w:color w:val="2F312F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b/>
        <w:color w:val="2F312F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/>
        <w:color w:val="2F312F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b/>
        <w:color w:val="2F312F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  <w:b/>
        <w:color w:val="2F312F"/>
      </w:rPr>
    </w:lvl>
  </w:abstractNum>
  <w:abstractNum w:abstractNumId="2">
    <w:nsid w:val="38317C36"/>
    <w:multiLevelType w:val="hybridMultilevel"/>
    <w:tmpl w:val="49F4626C"/>
    <w:lvl w:ilvl="0" w:tplc="B3BA8030">
      <w:start w:val="1"/>
      <w:numFmt w:val="decimal"/>
      <w:lvlText w:val="%1."/>
      <w:lvlJc w:val="left"/>
      <w:pPr>
        <w:ind w:left="760" w:hanging="360"/>
      </w:pPr>
      <w:rPr>
        <w:rFonts w:hint="default"/>
        <w:color w:val="2F312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wtzS0MLU0NzVS0lEKTi0uzszPAykwrAUABe81nSwAAAA="/>
  </w:docVars>
  <w:rsids>
    <w:rsidRoot w:val="003A3D1A"/>
    <w:rsid w:val="003A3D1A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1A"/>
    <w:pPr>
      <w:spacing w:after="160" w:line="259" w:lineRule="auto"/>
    </w:pPr>
    <w:rPr>
      <w:rFonts w:asciiTheme="minorEastAsia"/>
    </w:rPr>
  </w:style>
  <w:style w:type="paragraph" w:styleId="3">
    <w:name w:val="heading 3"/>
    <w:basedOn w:val="a"/>
    <w:link w:val="3Char"/>
    <w:uiPriority w:val="9"/>
    <w:qFormat/>
    <w:rsid w:val="003A3D1A"/>
    <w:pPr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3A3D1A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3A3D1A"/>
    <w:pPr>
      <w:ind w:leftChars="400" w:left="800"/>
    </w:pPr>
  </w:style>
  <w:style w:type="table" w:styleId="a4">
    <w:name w:val="Table Grid"/>
    <w:basedOn w:val="a1"/>
    <w:uiPriority w:val="39"/>
    <w:rsid w:val="003A3D1A"/>
    <w:pPr>
      <w:spacing w:after="0"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3A3D1A"/>
    <w:pPr>
      <w:spacing w:after="0" w:line="240" w:lineRule="auto"/>
      <w:jc w:val="center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Affiliation">
    <w:name w:val="Affiliation"/>
    <w:basedOn w:val="a"/>
    <w:rsid w:val="003A3D1A"/>
    <w:pPr>
      <w:spacing w:after="0" w:line="240" w:lineRule="auto"/>
      <w:jc w:val="center"/>
    </w:pPr>
    <w:rPr>
      <w:rFonts w:ascii="Times New Roman" w:eastAsia="바탕" w:hAnsi="Times New Roman" w:cs="Times New Roman"/>
      <w:i/>
      <w:kern w:val="0"/>
      <w:sz w:val="24"/>
      <w:szCs w:val="20"/>
      <w:lang w:eastAsia="en-US"/>
    </w:rPr>
  </w:style>
  <w:style w:type="character" w:styleId="a5">
    <w:name w:val="Hyperlink"/>
    <w:uiPriority w:val="99"/>
    <w:unhideWhenUsed/>
    <w:rsid w:val="003A3D1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A3D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A3D1A"/>
    <w:rPr>
      <w:rFonts w:asciiTheme="minorEastAsia"/>
    </w:rPr>
  </w:style>
  <w:style w:type="paragraph" w:styleId="a7">
    <w:name w:val="footer"/>
    <w:basedOn w:val="a"/>
    <w:link w:val="Char0"/>
    <w:uiPriority w:val="99"/>
    <w:unhideWhenUsed/>
    <w:rsid w:val="003A3D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A3D1A"/>
    <w:rPr>
      <w:rFonts w:asciiTheme="minorEastAsia"/>
    </w:rPr>
  </w:style>
  <w:style w:type="paragraph" w:customStyle="1" w:styleId="td">
    <w:name w:val="td"/>
    <w:basedOn w:val="a"/>
    <w:rsid w:val="003A3D1A"/>
    <w:pPr>
      <w:widowControl w:val="0"/>
      <w:autoSpaceDE w:val="0"/>
      <w:autoSpaceDN w:val="0"/>
      <w:spacing w:after="0" w:line="240" w:lineRule="auto"/>
      <w:textAlignment w:val="bottom"/>
    </w:pPr>
    <w:rPr>
      <w:rFonts w:ascii="맑은 고딕" w:eastAsia="굴림" w:hAnsi="굴림" w:cs="굴림"/>
      <w:color w:val="000000"/>
      <w:kern w:val="0"/>
      <w:sz w:val="22"/>
    </w:rPr>
  </w:style>
  <w:style w:type="paragraph" w:styleId="a8">
    <w:name w:val="Normal (Web)"/>
    <w:basedOn w:val="a"/>
    <w:uiPriority w:val="99"/>
    <w:semiHidden/>
    <w:unhideWhenUsed/>
    <w:rsid w:val="003A3D1A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A3D1A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3A3D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A3D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1A"/>
    <w:pPr>
      <w:spacing w:after="160" w:line="259" w:lineRule="auto"/>
    </w:pPr>
    <w:rPr>
      <w:rFonts w:asciiTheme="minorEastAsia"/>
    </w:rPr>
  </w:style>
  <w:style w:type="paragraph" w:styleId="3">
    <w:name w:val="heading 3"/>
    <w:basedOn w:val="a"/>
    <w:link w:val="3Char"/>
    <w:uiPriority w:val="9"/>
    <w:qFormat/>
    <w:rsid w:val="003A3D1A"/>
    <w:pPr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3A3D1A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3A3D1A"/>
    <w:pPr>
      <w:ind w:leftChars="400" w:left="800"/>
    </w:pPr>
  </w:style>
  <w:style w:type="table" w:styleId="a4">
    <w:name w:val="Table Grid"/>
    <w:basedOn w:val="a1"/>
    <w:uiPriority w:val="39"/>
    <w:rsid w:val="003A3D1A"/>
    <w:pPr>
      <w:spacing w:after="0"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3A3D1A"/>
    <w:pPr>
      <w:spacing w:after="0" w:line="240" w:lineRule="auto"/>
      <w:jc w:val="center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Affiliation">
    <w:name w:val="Affiliation"/>
    <w:basedOn w:val="a"/>
    <w:rsid w:val="003A3D1A"/>
    <w:pPr>
      <w:spacing w:after="0" w:line="240" w:lineRule="auto"/>
      <w:jc w:val="center"/>
    </w:pPr>
    <w:rPr>
      <w:rFonts w:ascii="Times New Roman" w:eastAsia="바탕" w:hAnsi="Times New Roman" w:cs="Times New Roman"/>
      <w:i/>
      <w:kern w:val="0"/>
      <w:sz w:val="24"/>
      <w:szCs w:val="20"/>
      <w:lang w:eastAsia="en-US"/>
    </w:rPr>
  </w:style>
  <w:style w:type="character" w:styleId="a5">
    <w:name w:val="Hyperlink"/>
    <w:uiPriority w:val="99"/>
    <w:unhideWhenUsed/>
    <w:rsid w:val="003A3D1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A3D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A3D1A"/>
    <w:rPr>
      <w:rFonts w:asciiTheme="minorEastAsia"/>
    </w:rPr>
  </w:style>
  <w:style w:type="paragraph" w:styleId="a7">
    <w:name w:val="footer"/>
    <w:basedOn w:val="a"/>
    <w:link w:val="Char0"/>
    <w:uiPriority w:val="99"/>
    <w:unhideWhenUsed/>
    <w:rsid w:val="003A3D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A3D1A"/>
    <w:rPr>
      <w:rFonts w:asciiTheme="minorEastAsia"/>
    </w:rPr>
  </w:style>
  <w:style w:type="paragraph" w:customStyle="1" w:styleId="td">
    <w:name w:val="td"/>
    <w:basedOn w:val="a"/>
    <w:rsid w:val="003A3D1A"/>
    <w:pPr>
      <w:widowControl w:val="0"/>
      <w:autoSpaceDE w:val="0"/>
      <w:autoSpaceDN w:val="0"/>
      <w:spacing w:after="0" w:line="240" w:lineRule="auto"/>
      <w:textAlignment w:val="bottom"/>
    </w:pPr>
    <w:rPr>
      <w:rFonts w:ascii="맑은 고딕" w:eastAsia="굴림" w:hAnsi="굴림" w:cs="굴림"/>
      <w:color w:val="000000"/>
      <w:kern w:val="0"/>
      <w:sz w:val="22"/>
    </w:rPr>
  </w:style>
  <w:style w:type="paragraph" w:styleId="a8">
    <w:name w:val="Normal (Web)"/>
    <w:basedOn w:val="a"/>
    <w:uiPriority w:val="99"/>
    <w:semiHidden/>
    <w:unhideWhenUsed/>
    <w:rsid w:val="003A3D1A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A3D1A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3A3D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A3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2021-04-06T00:21:00Z</dcterms:created>
  <dcterms:modified xsi:type="dcterms:W3CDTF">2021-04-06T00:21:00Z</dcterms:modified>
</cp:coreProperties>
</file>